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08" w:type="dxa"/>
        <w:tblLayout w:type="fixed"/>
        <w:tblLook w:val="0000" w:firstRow="0" w:lastRow="0" w:firstColumn="0" w:lastColumn="0" w:noHBand="0" w:noVBand="0"/>
      </w:tblPr>
      <w:tblGrid>
        <w:gridCol w:w="3876"/>
        <w:gridCol w:w="1964"/>
        <w:gridCol w:w="4344"/>
      </w:tblGrid>
      <w:tr w:rsidR="00833B10" w:rsidRPr="000D1070" w:rsidTr="00EE4772">
        <w:trPr>
          <w:jc w:val="center"/>
        </w:trPr>
        <w:tc>
          <w:tcPr>
            <w:tcW w:w="3876" w:type="dxa"/>
          </w:tcPr>
          <w:p w:rsidR="00833B10" w:rsidRPr="000D1070" w:rsidRDefault="00833B10" w:rsidP="00EE4772">
            <w:pPr>
              <w:jc w:val="center"/>
              <w:rPr>
                <w:rFonts w:ascii="SL_Times New Roman" w:hAnsi="SL_Times New Roman"/>
                <w:lang w:val="hsb-DE"/>
              </w:rPr>
            </w:pPr>
            <w:r w:rsidRPr="000D1070">
              <w:rPr>
                <w:rFonts w:ascii="SL_Times New Roman" w:hAnsi="SL_Times New Roman"/>
                <w:lang w:val="hsb-DE"/>
              </w:rPr>
              <w:t>РЕСПУБЛИКА ТАТАРСТАН</w:t>
            </w:r>
          </w:p>
          <w:p w:rsidR="00833B10" w:rsidRPr="000D1070" w:rsidRDefault="00833B10" w:rsidP="00EE4772">
            <w:pPr>
              <w:jc w:val="center"/>
              <w:rPr>
                <w:rFonts w:ascii="SL_Times New Roman" w:hAnsi="SL_Times New Roman"/>
                <w:sz w:val="20"/>
                <w:szCs w:val="20"/>
                <w:lang w:val="hsb-DE"/>
              </w:rPr>
            </w:pPr>
          </w:p>
          <w:p w:rsidR="00833B10" w:rsidRPr="000D1070" w:rsidRDefault="00833B10" w:rsidP="00EE4772">
            <w:pPr>
              <w:jc w:val="center"/>
              <w:rPr>
                <w:rFonts w:ascii="Times New Roman Tat" w:hAnsi="Times New Roman Tat"/>
                <w:b/>
                <w:sz w:val="23"/>
                <w:szCs w:val="23"/>
              </w:rPr>
            </w:pPr>
            <w:r w:rsidRPr="000D1070">
              <w:rPr>
                <w:rFonts w:ascii="Times New Roman Tat" w:hAnsi="Times New Roman Tat"/>
                <w:b/>
                <w:sz w:val="23"/>
                <w:szCs w:val="23"/>
                <w:lang w:val="tt-RU"/>
              </w:rPr>
              <w:t xml:space="preserve">СОВЕТ  </w:t>
            </w:r>
            <w:r w:rsidRPr="000D1070">
              <w:rPr>
                <w:rFonts w:ascii="Times New Roman Tat" w:hAnsi="Times New Roman Tat"/>
                <w:b/>
                <w:sz w:val="23"/>
                <w:szCs w:val="23"/>
              </w:rPr>
              <w:t xml:space="preserve">БАЮКОВСКОГО </w:t>
            </w:r>
          </w:p>
          <w:p w:rsidR="00833B10" w:rsidRPr="000D1070" w:rsidRDefault="00833B10" w:rsidP="00EE4772">
            <w:pPr>
              <w:jc w:val="center"/>
              <w:rPr>
                <w:rFonts w:ascii="Times New Roman Tat" w:hAnsi="Times New Roman Tat"/>
                <w:b/>
                <w:sz w:val="23"/>
                <w:szCs w:val="23"/>
              </w:rPr>
            </w:pPr>
            <w:r w:rsidRPr="000D1070">
              <w:rPr>
                <w:rFonts w:ascii="Times New Roman Tat" w:hAnsi="Times New Roman Tat"/>
                <w:b/>
                <w:sz w:val="23"/>
                <w:szCs w:val="23"/>
              </w:rPr>
              <w:t>СЕЛЬСКОГО ПОСЕЛЕНИЯ МУСЛЮМОВСКОГО МУНИЦИПАЛЬНОГО РАЙОНА</w:t>
            </w:r>
          </w:p>
          <w:p w:rsidR="00833B10" w:rsidRPr="000D1070" w:rsidRDefault="00833B10" w:rsidP="00EE4772">
            <w:pPr>
              <w:jc w:val="center"/>
              <w:rPr>
                <w:rFonts w:ascii="Times New Roman Tat" w:hAnsi="Times New Roman Tat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3B10" w:rsidRPr="000D1070" w:rsidRDefault="00833B10" w:rsidP="00EE4772">
            <w:pPr>
              <w:jc w:val="center"/>
              <w:rPr>
                <w:rFonts w:ascii="SL_Times New Roman" w:hAnsi="SL_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Описание: гербмусмю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мусмю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:rsidR="00833B10" w:rsidRPr="000D1070" w:rsidRDefault="00833B10" w:rsidP="00EE4772">
            <w:pPr>
              <w:jc w:val="center"/>
              <w:rPr>
                <w:rFonts w:ascii="SL_Times New Roman" w:hAnsi="SL_Times New Roman"/>
                <w:lang w:val="hsb-DE"/>
              </w:rPr>
            </w:pPr>
            <w:r w:rsidRPr="000D1070">
              <w:rPr>
                <w:rFonts w:ascii="SL_Times New Roman" w:hAnsi="SL_Times New Roman"/>
                <w:lang w:val="hsb-DE"/>
              </w:rPr>
              <w:t>ТАТАРСТАН РЕСПУБЛИКАСЫ</w:t>
            </w:r>
          </w:p>
          <w:p w:rsidR="00833B10" w:rsidRPr="000D1070" w:rsidRDefault="00833B10" w:rsidP="00EE4772">
            <w:pPr>
              <w:jc w:val="center"/>
              <w:rPr>
                <w:lang w:val="hsb-DE"/>
              </w:rPr>
            </w:pPr>
          </w:p>
          <w:p w:rsidR="00833B10" w:rsidRPr="000D1070" w:rsidRDefault="00833B10" w:rsidP="00EE4772">
            <w:pPr>
              <w:jc w:val="center"/>
              <w:rPr>
                <w:b/>
                <w:sz w:val="23"/>
                <w:szCs w:val="23"/>
              </w:rPr>
            </w:pPr>
            <w:r w:rsidRPr="000D1070">
              <w:rPr>
                <w:b/>
                <w:sz w:val="23"/>
                <w:szCs w:val="23"/>
                <w:lang w:val="hsb-DE"/>
              </w:rPr>
              <w:t xml:space="preserve"> М</w:t>
            </w:r>
            <w:r w:rsidRPr="000D1070">
              <w:rPr>
                <w:rFonts w:ascii="Tahoma" w:hAnsi="Tahoma"/>
                <w:sz w:val="21"/>
                <w:szCs w:val="21"/>
                <w:lang w:val="tt-RU"/>
              </w:rPr>
              <w:t>Ө</w:t>
            </w:r>
            <w:r w:rsidRPr="000D1070">
              <w:rPr>
                <w:b/>
                <w:sz w:val="23"/>
                <w:szCs w:val="23"/>
                <w:lang w:val="hsb-DE"/>
              </w:rPr>
              <w:t>СЛИМ</w:t>
            </w:r>
            <w:r w:rsidRPr="000D1070">
              <w:rPr>
                <w:b/>
                <w:sz w:val="23"/>
                <w:szCs w:val="23"/>
              </w:rPr>
              <w:t xml:space="preserve"> МУНИЦИПАЛЬ</w:t>
            </w:r>
            <w:r w:rsidRPr="000D1070">
              <w:rPr>
                <w:b/>
                <w:sz w:val="23"/>
                <w:szCs w:val="23"/>
                <w:lang w:val="hsb-DE"/>
              </w:rPr>
              <w:t xml:space="preserve"> </w:t>
            </w:r>
          </w:p>
          <w:p w:rsidR="00833B10" w:rsidRPr="000D1070" w:rsidRDefault="00833B10" w:rsidP="00EE4772">
            <w:pPr>
              <w:jc w:val="center"/>
              <w:rPr>
                <w:rFonts w:ascii="SL_Times New Roman" w:hAnsi="SL_Times New Roman"/>
                <w:b/>
                <w:sz w:val="23"/>
                <w:szCs w:val="23"/>
                <w:lang w:val="tt-RU"/>
              </w:rPr>
            </w:pPr>
            <w:r w:rsidRPr="000D1070">
              <w:rPr>
                <w:b/>
                <w:sz w:val="23"/>
                <w:szCs w:val="23"/>
                <w:lang w:val="hsb-DE"/>
              </w:rPr>
              <w:t>РАЙОН</w:t>
            </w:r>
            <w:r w:rsidRPr="000D1070">
              <w:rPr>
                <w:b/>
                <w:sz w:val="23"/>
                <w:szCs w:val="23"/>
              </w:rPr>
              <w:t>Ы</w:t>
            </w:r>
            <w:r w:rsidRPr="000D1070">
              <w:rPr>
                <w:b/>
                <w:sz w:val="23"/>
                <w:szCs w:val="23"/>
                <w:lang w:val="tt-RU"/>
              </w:rPr>
              <w:t xml:space="preserve"> БАЕК АВЫЛ ҖИРЛЕГЕ СОВЕТЫ </w:t>
            </w:r>
          </w:p>
        </w:tc>
      </w:tr>
    </w:tbl>
    <w:p w:rsidR="00833B10" w:rsidRPr="000D1070" w:rsidRDefault="00833B10" w:rsidP="00833B10">
      <w:pPr>
        <w:jc w:val="center"/>
        <w:rPr>
          <w:i/>
        </w:rPr>
      </w:pPr>
      <w:r w:rsidRPr="000D1070">
        <w:rPr>
          <w:i/>
        </w:rPr>
        <w:t>4239</w:t>
      </w:r>
      <w:r w:rsidRPr="000D1070">
        <w:rPr>
          <w:i/>
          <w:lang w:val="tt-RU"/>
        </w:rPr>
        <w:t>83</w:t>
      </w:r>
      <w:r w:rsidRPr="000D1070">
        <w:rPr>
          <w:i/>
        </w:rPr>
        <w:t xml:space="preserve">, РТ, Муслюмовский район, с. </w:t>
      </w:r>
      <w:proofErr w:type="spellStart"/>
      <w:r w:rsidRPr="000D1070">
        <w:rPr>
          <w:i/>
        </w:rPr>
        <w:t>Баюково</w:t>
      </w:r>
      <w:proofErr w:type="spellEnd"/>
      <w:r w:rsidRPr="000D1070">
        <w:rPr>
          <w:i/>
        </w:rPr>
        <w:t xml:space="preserve">, ул. </w:t>
      </w:r>
      <w:proofErr w:type="gramStart"/>
      <w:r w:rsidRPr="000D1070">
        <w:rPr>
          <w:i/>
        </w:rPr>
        <w:t>Советская</w:t>
      </w:r>
      <w:proofErr w:type="gramEnd"/>
      <w:r w:rsidRPr="000D1070">
        <w:rPr>
          <w:i/>
        </w:rPr>
        <w:t xml:space="preserve"> 2</w:t>
      </w:r>
    </w:p>
    <w:p w:rsidR="00833B10" w:rsidRPr="000D1070" w:rsidRDefault="00833B10" w:rsidP="00833B10">
      <w:pPr>
        <w:pBdr>
          <w:bottom w:val="single" w:sz="12" w:space="1" w:color="auto"/>
        </w:pBdr>
        <w:jc w:val="center"/>
        <w:rPr>
          <w:i/>
        </w:rPr>
      </w:pPr>
      <w:r w:rsidRPr="000D1070">
        <w:rPr>
          <w:i/>
        </w:rPr>
        <w:t>тел. (8-85556)3-16–38</w:t>
      </w:r>
    </w:p>
    <w:p w:rsidR="00833B10" w:rsidRPr="000D1070" w:rsidRDefault="00833B10" w:rsidP="00833B10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с. </w:t>
      </w:r>
      <w:r>
        <w:rPr>
          <w:rFonts w:eastAsia="Lucida Sans Unicode"/>
          <w:kern w:val="2"/>
          <w:sz w:val="28"/>
          <w:szCs w:val="28"/>
          <w:lang w:val="tt-RU"/>
        </w:rPr>
        <w:t xml:space="preserve">Баюково                                                                               </w:t>
      </w:r>
      <w:r w:rsidR="00A7032C">
        <w:rPr>
          <w:rFonts w:eastAsia="Lucida Sans Unicode"/>
          <w:kern w:val="2"/>
          <w:sz w:val="28"/>
          <w:szCs w:val="28"/>
        </w:rPr>
        <w:t>28</w:t>
      </w:r>
      <w:r w:rsidRPr="00D21EAA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</w:rPr>
        <w:t>ноября 2018 года</w:t>
      </w:r>
    </w:p>
    <w:p w:rsidR="00833B10" w:rsidRDefault="00833B10" w:rsidP="00833B10">
      <w:pPr>
        <w:jc w:val="center"/>
        <w:rPr>
          <w:b/>
          <w:sz w:val="28"/>
          <w:szCs w:val="28"/>
        </w:rPr>
      </w:pPr>
    </w:p>
    <w:p w:rsidR="00833B10" w:rsidRDefault="00833B10" w:rsidP="00A703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  <w:lang w:val="en-US"/>
        </w:rPr>
        <w:t>XXVI</w:t>
      </w:r>
      <w:r>
        <w:rPr>
          <w:b/>
          <w:sz w:val="28"/>
          <w:szCs w:val="28"/>
        </w:rPr>
        <w:t xml:space="preserve"> ЗАСЕДАНИЕ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СОЗЫВА </w:t>
      </w:r>
    </w:p>
    <w:p w:rsidR="00A7032C" w:rsidRPr="00A7032C" w:rsidRDefault="00A7032C" w:rsidP="00A7032C">
      <w:pPr>
        <w:jc w:val="center"/>
        <w:rPr>
          <w:b/>
          <w:sz w:val="28"/>
          <w:szCs w:val="28"/>
        </w:rPr>
      </w:pPr>
    </w:p>
    <w:p w:rsidR="00A7032C" w:rsidRDefault="00833B10" w:rsidP="00A7032C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proofErr w:type="gramStart"/>
      <w:r>
        <w:rPr>
          <w:rFonts w:eastAsia="Lucida Sans Unicode"/>
          <w:b/>
          <w:kern w:val="2"/>
          <w:sz w:val="28"/>
          <w:szCs w:val="28"/>
        </w:rPr>
        <w:t>Р</w:t>
      </w:r>
      <w:proofErr w:type="gramEnd"/>
      <w:r>
        <w:rPr>
          <w:rFonts w:eastAsia="Lucida Sans Unicode"/>
          <w:b/>
          <w:kern w:val="2"/>
          <w:sz w:val="28"/>
          <w:szCs w:val="28"/>
        </w:rPr>
        <w:t xml:space="preserve"> Е Ш Е Н И Е № 1</w:t>
      </w:r>
    </w:p>
    <w:p w:rsidR="00A7032C" w:rsidRDefault="00A7032C" w:rsidP="00A7032C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>
        <w:rPr>
          <w:rFonts w:eastAsia="Lucida Sans Unicode"/>
          <w:b/>
          <w:kern w:val="2"/>
          <w:sz w:val="28"/>
          <w:szCs w:val="28"/>
        </w:rPr>
        <w:t>О налоге на имущество с физических лиц</w:t>
      </w:r>
    </w:p>
    <w:p w:rsidR="00A7032C" w:rsidRPr="00A7032C" w:rsidRDefault="00A7032C" w:rsidP="00A7032C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proofErr w:type="gramStart"/>
      <w:r w:rsidRPr="00A7032C">
        <w:rPr>
          <w:sz w:val="28"/>
          <w:szCs w:val="28"/>
        </w:rPr>
        <w:t xml:space="preserve">В соответствии с </w:t>
      </w:r>
      <w:hyperlink r:id="rId7" w:history="1">
        <w:r w:rsidRPr="00A7032C">
          <w:rPr>
            <w:sz w:val="28"/>
            <w:szCs w:val="28"/>
          </w:rPr>
          <w:t>главой 32</w:t>
        </w:r>
      </w:hyperlink>
      <w:r w:rsidRPr="00A7032C">
        <w:rPr>
          <w:sz w:val="28"/>
          <w:szCs w:val="28"/>
        </w:rPr>
        <w:t xml:space="preserve"> Налогового кодекса Российской Федерации, </w:t>
      </w:r>
      <w:hyperlink r:id="rId8" w:history="1">
        <w:r w:rsidRPr="00A7032C">
          <w:rPr>
            <w:sz w:val="28"/>
            <w:szCs w:val="28"/>
          </w:rPr>
          <w:t>Законом</w:t>
        </w:r>
      </w:hyperlink>
      <w:r w:rsidRPr="00A7032C">
        <w:rPr>
          <w:sz w:val="28"/>
          <w:szCs w:val="28"/>
        </w:rPr>
        <w:t xml:space="preserve"> Республики Татарстан от 30 октября 2014 года N 82-ЗРТ "Об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налогообложения" Совет </w:t>
      </w:r>
      <w:proofErr w:type="spellStart"/>
      <w:r>
        <w:rPr>
          <w:sz w:val="28"/>
          <w:szCs w:val="28"/>
        </w:rPr>
        <w:t>Баюко</w:t>
      </w:r>
      <w:r w:rsidRPr="00A7032C">
        <w:rPr>
          <w:sz w:val="28"/>
          <w:szCs w:val="28"/>
        </w:rPr>
        <w:t>вского</w:t>
      </w:r>
      <w:proofErr w:type="spellEnd"/>
      <w:r w:rsidRPr="00A7032C">
        <w:rPr>
          <w:sz w:val="28"/>
          <w:szCs w:val="28"/>
        </w:rPr>
        <w:t xml:space="preserve"> сельского поселения Муслюмовского муниципального района Республики Татарстан РЕШИЛ:</w:t>
      </w:r>
      <w:proofErr w:type="gramEnd"/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 xml:space="preserve">1. Установить и ввести в действие налог на имущество физических лиц, обязательный к </w:t>
      </w:r>
      <w:r>
        <w:rPr>
          <w:sz w:val="28"/>
          <w:szCs w:val="28"/>
        </w:rPr>
        <w:t xml:space="preserve">уплате на территории </w:t>
      </w:r>
      <w:proofErr w:type="spellStart"/>
      <w:r>
        <w:rPr>
          <w:sz w:val="28"/>
          <w:szCs w:val="28"/>
        </w:rPr>
        <w:t>Баюко</w:t>
      </w:r>
      <w:r w:rsidRPr="00A7032C">
        <w:rPr>
          <w:sz w:val="28"/>
          <w:szCs w:val="28"/>
        </w:rPr>
        <w:t>вского</w:t>
      </w:r>
      <w:proofErr w:type="spellEnd"/>
      <w:r w:rsidRPr="00A7032C">
        <w:rPr>
          <w:sz w:val="28"/>
          <w:szCs w:val="28"/>
        </w:rPr>
        <w:t xml:space="preserve"> сельского поселения Муслюмовского муниципального района Республики Татарстан.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2. Установить налоговые ставки в размере: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1) 0,1 процента в отношении: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 xml:space="preserve">- гаражей и </w:t>
      </w:r>
      <w:proofErr w:type="spellStart"/>
      <w:r w:rsidRPr="00A7032C">
        <w:rPr>
          <w:sz w:val="28"/>
          <w:szCs w:val="28"/>
        </w:rPr>
        <w:t>машино</w:t>
      </w:r>
      <w:proofErr w:type="spellEnd"/>
      <w:r w:rsidRPr="00A7032C">
        <w:rPr>
          <w:sz w:val="28"/>
          <w:szCs w:val="28"/>
        </w:rPr>
        <w:t>-мест;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2) 0,2 процента в отношении: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- квартир, частей квартир;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- комнат;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3) 0,3 процента в отношении: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- жилых домов, частей жилых домов;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4) 2 процента в отношении: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lastRenderedPageBreak/>
        <w:t xml:space="preserve">- объектов налогообложения, включенных в перечень, определяемый в соответствии с </w:t>
      </w:r>
      <w:hyperlink r:id="rId9" w:history="1">
        <w:r w:rsidRPr="00A7032C">
          <w:rPr>
            <w:sz w:val="28"/>
            <w:szCs w:val="28"/>
          </w:rPr>
          <w:t>пунктом 7 статьи 378.2</w:t>
        </w:r>
      </w:hyperlink>
      <w:r w:rsidRPr="00A7032C">
        <w:rPr>
          <w:sz w:val="28"/>
          <w:szCs w:val="28"/>
        </w:rPr>
        <w:t xml:space="preserve"> Налогового кодекса Российской Федерации;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 xml:space="preserve">- объектов налогообложения, предусмотренных </w:t>
      </w:r>
      <w:hyperlink r:id="rId10" w:history="1">
        <w:r w:rsidRPr="00A7032C">
          <w:rPr>
            <w:sz w:val="28"/>
            <w:szCs w:val="28"/>
          </w:rPr>
          <w:t>абзацем вторым пункта 10 статьи 378.2</w:t>
        </w:r>
      </w:hyperlink>
      <w:r w:rsidRPr="00A7032C">
        <w:rPr>
          <w:sz w:val="28"/>
          <w:szCs w:val="28"/>
        </w:rPr>
        <w:t xml:space="preserve"> Налогового кодекса Российской Федерации;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рублей.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5) 0,5 процента в отношении прочих объектов налогообложения.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 xml:space="preserve">3. Признать утратившими силу решение Совета </w:t>
      </w:r>
      <w:proofErr w:type="spellStart"/>
      <w:r w:rsidR="00433775">
        <w:rPr>
          <w:sz w:val="28"/>
          <w:szCs w:val="28"/>
        </w:rPr>
        <w:t>Баюко</w:t>
      </w:r>
      <w:r w:rsidRPr="00A7032C">
        <w:rPr>
          <w:sz w:val="28"/>
          <w:szCs w:val="28"/>
        </w:rPr>
        <w:t>вского</w:t>
      </w:r>
      <w:proofErr w:type="spellEnd"/>
      <w:r w:rsidRPr="00A7032C">
        <w:rPr>
          <w:sz w:val="28"/>
          <w:szCs w:val="28"/>
        </w:rPr>
        <w:t xml:space="preserve"> сельского поселения Муслюмовского муниципального района Республики Тат</w:t>
      </w:r>
      <w:r w:rsidR="00433775">
        <w:rPr>
          <w:sz w:val="28"/>
          <w:szCs w:val="28"/>
        </w:rPr>
        <w:t>арстан от 19.07.2018  года №  1</w:t>
      </w:r>
      <w:bookmarkStart w:id="0" w:name="_GoBack"/>
      <w:bookmarkEnd w:id="0"/>
      <w:r w:rsidRPr="00A7032C">
        <w:rPr>
          <w:sz w:val="28"/>
          <w:szCs w:val="28"/>
        </w:rPr>
        <w:t xml:space="preserve"> "О налогах на имущество физических лиц" с 31.12.2018 года.</w:t>
      </w:r>
    </w:p>
    <w:p w:rsidR="00A7032C" w:rsidRPr="00A7032C" w:rsidRDefault="00A7032C" w:rsidP="00A7032C">
      <w:pPr>
        <w:ind w:firstLine="540"/>
        <w:jc w:val="both"/>
        <w:rPr>
          <w:sz w:val="28"/>
          <w:szCs w:val="28"/>
        </w:rPr>
      </w:pPr>
      <w:r w:rsidRPr="00A7032C">
        <w:rPr>
          <w:sz w:val="28"/>
          <w:szCs w:val="28"/>
        </w:rPr>
        <w:t>4. Настоящее решение вступает в силу по истечению одного месяца со дня его официального опубликования, но не ранее 01.01.2019 года.</w:t>
      </w:r>
    </w:p>
    <w:p w:rsidR="004C353E" w:rsidRPr="00A7032C" w:rsidRDefault="004C353E" w:rsidP="00A7032C">
      <w:pPr>
        <w:jc w:val="both"/>
        <w:rPr>
          <w:sz w:val="28"/>
          <w:szCs w:val="28"/>
        </w:rPr>
      </w:pPr>
    </w:p>
    <w:p w:rsidR="004C353E" w:rsidRPr="00A7032C" w:rsidRDefault="004C353E" w:rsidP="00A7032C">
      <w:pPr>
        <w:jc w:val="both"/>
        <w:rPr>
          <w:sz w:val="28"/>
          <w:szCs w:val="28"/>
        </w:rPr>
      </w:pPr>
    </w:p>
    <w:p w:rsidR="004C353E" w:rsidRPr="00A52D9B" w:rsidRDefault="004C353E" w:rsidP="00A7032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353E" w:rsidRPr="007F2936" w:rsidRDefault="007F2936" w:rsidP="007F293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7F2936">
        <w:rPr>
          <w:b/>
          <w:sz w:val="28"/>
          <w:szCs w:val="28"/>
        </w:rPr>
        <w:t>Заместитель председателя</w:t>
      </w:r>
    </w:p>
    <w:p w:rsidR="004C353E" w:rsidRPr="007F2936" w:rsidRDefault="007F2936" w:rsidP="007F293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7F2936">
        <w:rPr>
          <w:b/>
          <w:sz w:val="28"/>
          <w:szCs w:val="28"/>
        </w:rPr>
        <w:t>Совета сельского поселения</w:t>
      </w:r>
      <w:r w:rsidRPr="007F2936">
        <w:rPr>
          <w:b/>
          <w:sz w:val="28"/>
          <w:szCs w:val="28"/>
        </w:rPr>
        <w:tab/>
      </w:r>
      <w:r w:rsidRPr="007F2936">
        <w:rPr>
          <w:b/>
          <w:sz w:val="28"/>
          <w:szCs w:val="28"/>
        </w:rPr>
        <w:tab/>
        <w:t xml:space="preserve">                    </w:t>
      </w:r>
      <w:r w:rsidR="004C353E" w:rsidRPr="007F2936">
        <w:rPr>
          <w:b/>
          <w:sz w:val="28"/>
          <w:szCs w:val="28"/>
        </w:rPr>
        <w:t>А.</w:t>
      </w:r>
      <w:r w:rsidRPr="007F2936">
        <w:rPr>
          <w:b/>
          <w:sz w:val="28"/>
          <w:szCs w:val="28"/>
        </w:rPr>
        <w:t>Ф</w:t>
      </w:r>
      <w:r w:rsidR="004C353E" w:rsidRPr="007F2936">
        <w:rPr>
          <w:b/>
          <w:sz w:val="28"/>
          <w:szCs w:val="28"/>
        </w:rPr>
        <w:t xml:space="preserve">. </w:t>
      </w:r>
      <w:proofErr w:type="spellStart"/>
      <w:r w:rsidRPr="007F2936">
        <w:rPr>
          <w:b/>
          <w:sz w:val="28"/>
          <w:szCs w:val="28"/>
        </w:rPr>
        <w:t>Хазиева</w:t>
      </w:r>
      <w:proofErr w:type="spellEnd"/>
    </w:p>
    <w:p w:rsidR="004C353E" w:rsidRPr="007F2936" w:rsidRDefault="004C353E" w:rsidP="007F2936">
      <w:pPr>
        <w:widowControl w:val="0"/>
        <w:suppressAutoHyphens/>
        <w:spacing w:after="120"/>
        <w:rPr>
          <w:rFonts w:eastAsia="Lucida Sans Unicode"/>
          <w:b/>
          <w:kern w:val="1"/>
          <w:sz w:val="28"/>
          <w:szCs w:val="28"/>
          <w:lang w:val="x-none"/>
        </w:rPr>
      </w:pPr>
    </w:p>
    <w:p w:rsidR="004C353E" w:rsidRPr="00A52D9B" w:rsidRDefault="004C353E" w:rsidP="004C353E">
      <w:pPr>
        <w:rPr>
          <w:lang w:val="x-none"/>
        </w:rPr>
      </w:pPr>
    </w:p>
    <w:p w:rsidR="004C353E" w:rsidRPr="00A52D9B" w:rsidRDefault="004C353E" w:rsidP="004C353E">
      <w:pPr>
        <w:rPr>
          <w:b/>
          <w:sz w:val="28"/>
          <w:szCs w:val="28"/>
        </w:rPr>
      </w:pPr>
    </w:p>
    <w:p w:rsidR="004C353E" w:rsidRPr="00A52D9B" w:rsidRDefault="004C353E" w:rsidP="004C353E">
      <w:pPr>
        <w:ind w:left="5958" w:firstLine="561"/>
      </w:pPr>
    </w:p>
    <w:p w:rsidR="007854DD" w:rsidRDefault="007854DD"/>
    <w:sectPr w:rsidR="0078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T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6D3"/>
    <w:multiLevelType w:val="hybridMultilevel"/>
    <w:tmpl w:val="13FAE484"/>
    <w:lvl w:ilvl="0" w:tplc="F4B09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10192"/>
    <w:multiLevelType w:val="hybridMultilevel"/>
    <w:tmpl w:val="B648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3E"/>
    <w:rsid w:val="00433775"/>
    <w:rsid w:val="004C353E"/>
    <w:rsid w:val="007854DD"/>
    <w:rsid w:val="007F2936"/>
    <w:rsid w:val="00833B10"/>
    <w:rsid w:val="009E59C4"/>
    <w:rsid w:val="00A7032C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FA5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FA5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85F63B60E968E8719800AF9D919222CF61524610BD176363E7C0A7B6C5FB7AFh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F85F63B60E968E87199E07EFB544292CFD4A2F6D02DA28636127572C6555E0BC85412C459A79A5h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F85F63B60E968E87199E07EFB544292CFD4A2F6D02DA28636127572C6555E0BC85412C449D7EA5h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85F63B60E968E87199E07EFB544292CFD4A2F6D02DA28636127572C6555E0BC8541244798A7h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Баюково</cp:lastModifiedBy>
  <cp:revision>5</cp:revision>
  <dcterms:created xsi:type="dcterms:W3CDTF">2018-10-27T04:33:00Z</dcterms:created>
  <dcterms:modified xsi:type="dcterms:W3CDTF">2018-11-30T06:02:00Z</dcterms:modified>
</cp:coreProperties>
</file>